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Quarterly Review</w:t>
      </w:r>
    </w:p>
    <w:p>
      <w:pPr>
        <w:pStyle w:val="Heading1"/>
      </w:pPr>
      <w:r>
        <w:t>Summary</w:t>
      </w:r>
    </w:p>
    <w:p>
      <w:r>
        <w:t xml:space="preserve">Revenue for the Northwind account was </w:t>
      </w:r>
      <w:r>
        <w:rPr>
          <w:b/>
        </w:rPr>
        <w:t>up 12%</w:t>
      </w:r>
      <w:r>
        <w:t xml:space="preserve"> on the previous quarter, with </w:t>
      </w:r>
      <w:r>
        <w:rPr>
          <w:i/>
        </w:rPr>
        <w:t>churn</w:t>
      </w:r>
      <w:r>
        <w:t> falling for the third quarter running.</w:t>
      </w:r>
    </w:p>
    <w:p>
      <w:pPr>
        <w:numPr>
          <w:ilvl w:val="0"/>
          <w:numId w:val="1"/>
        </w:numPr>
      </w:pPr>
      <w:r>
        <w:t>North region led the quarter</w:t>
      </w:r>
    </w:p>
    <w:p>
      <w:pPr>
        <w:numPr>
          <w:ilvl w:val="1"/>
          <w:numId w:val="1"/>
        </w:numPr>
      </w:pPr>
      <w:r>
        <w:t>Enterprise renewals up 18%</w:t>
      </w:r>
    </w:p>
    <w:p>
      <w:pPr>
        <w:numPr>
          <w:ilvl w:val="1"/>
          <w:numId w:val="1"/>
        </w:numPr>
      </w:pPr>
      <w:r>
        <w:t>Two accounts still at risk</w:t>
      </w:r>
    </w:p>
    <w:p>
      <w:pPr>
        <w:numPr>
          <w:ilvl w:val="0"/>
          <w:numId w:val="1"/>
        </w:numPr>
      </w:pPr>
      <w:r>
        <w:t>Churn down to 3.1%</w:t>
      </w:r>
    </w:p>
    <w:p>
      <w:pPr>
        <w:pStyle w:val="Quote"/>
      </w:pPr>
      <w:r>
        <w:t>The strongest quarter since the account opened.</w:t>
      </w:r>
    </w:p>
    <w:tbl>
      <w:tr>
        <w:tc>
          <w:p>
            <w:r>
              <w:rPr>
                <w:b/>
              </w:rPr>
              <w:t>Region</w:t>
            </w:r>
          </w:p>
        </w:tc>
        <w:tc>
          <w:p>
            <w:r>
              <w:rPr>
                <w:b/>
              </w:rPr>
              <w:t>Total</w:t>
            </w:r>
          </w:p>
        </w:tc>
      </w:tr>
      <w:tr>
        <w:tc>
          <w:p>
            <w:r>
              <w:t>North</w:t>
            </w:r>
          </w:p>
        </w:tc>
        <w:tc>
          <w:p>
            <w:r>
              <w:t>412</w:t>
            </w:r>
          </w:p>
        </w:tc>
      </w:tr>
      <w:tr>
        <w:tc>
          <w:p>
            <w:r>
              <w:t>South</w:t>
            </w:r>
          </w:p>
        </w:tc>
        <w:tc>
          <w:p>
            <w:r>
              <w:t>287</w:t>
            </w:r>
          </w:p>
        </w:tc>
      </w:tr>
    </w:tbl>
    <w:p>
      <w:r>
        <w:t>Full detail follows in the appendix.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numFmt w:val="bullet"/>
    </w:lvl>
    <w:lvl w:ilvl="1">
      <w:numFmt w:val="bullet"/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styleId="Title">
    <w:name w:val="Title"/>
  </w:style>
  <w:style w:type="paragraph" w:styleId="Heading1">
    <w:name w:val="heading 1"/>
  </w:style>
  <w:style w:type="paragraph" w:styleId="Quote">
    <w:name w:val="Quot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numbering" Target="numbering.xml"/>
<Relationship Id="rId2" Type="http://schemas.openxmlformats.org/officeDocument/2006/relationships/styles" Target="styles.xml"/>
</Relationships>
</file>